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1DCEE" w14:textId="77777777" w:rsidR="0037487D" w:rsidRDefault="0037487D" w:rsidP="006E4FE3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4D6645C5" w14:textId="15AD2995" w:rsidR="0037487D" w:rsidRDefault="0037487D" w:rsidP="006E4FE3">
      <w:pPr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 w:rsidRPr="0037487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Article Presentation </w:t>
      </w:r>
    </w:p>
    <w:p w14:paraId="2F20EFE7" w14:textId="77777777" w:rsidR="0037487D" w:rsidRPr="0037487D" w:rsidRDefault="0037487D" w:rsidP="006E4FE3">
      <w:pPr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</w:p>
    <w:p w14:paraId="73C511AF" w14:textId="72F573BE" w:rsidR="006E4FE3" w:rsidRPr="0037487D" w:rsidRDefault="006E4FE3" w:rsidP="006E4FE3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6E4FE3">
        <w:rPr>
          <w:rFonts w:ascii="Times New Roman" w:eastAsia="Times New Roman" w:hAnsi="Times New Roman" w:cs="Times New Roman"/>
          <w:b/>
          <w:bCs/>
          <w:sz w:val="40"/>
          <w:szCs w:val="40"/>
        </w:rPr>
        <w:t>The role of global traditional and complementary systems of medicine in treating mental health problems</w:t>
      </w:r>
    </w:p>
    <w:p w14:paraId="15C86A8F" w14:textId="77777777" w:rsidR="006E4FE3" w:rsidRPr="006E4FE3" w:rsidRDefault="006E4FE3" w:rsidP="006E4FE3">
      <w:pPr>
        <w:jc w:val="center"/>
        <w:rPr>
          <w:rFonts w:ascii="Times New Roman" w:eastAsia="Times New Roman" w:hAnsi="Times New Roman" w:cs="Times New Roman"/>
        </w:rPr>
      </w:pPr>
    </w:p>
    <w:p w14:paraId="4018CCFF" w14:textId="77777777" w:rsidR="006E4FE3" w:rsidRPr="002C2875" w:rsidRDefault="006E4FE3" w:rsidP="006E4FE3">
      <w:pPr>
        <w:pStyle w:val="NoSpacing"/>
        <w:widowControl w:val="0"/>
        <w:ind w:left="540" w:hanging="720"/>
        <w:rPr>
          <w:rFonts w:ascii="Times New Roman" w:hAnsi="Times New Roman" w:cs="Times New Roman"/>
        </w:rPr>
      </w:pPr>
      <w:proofErr w:type="spellStart"/>
      <w:r w:rsidRPr="002C2875">
        <w:rPr>
          <w:rFonts w:ascii="Times New Roman" w:hAnsi="Times New Roman" w:cs="Times New Roman"/>
        </w:rPr>
        <w:t>Gureje</w:t>
      </w:r>
      <w:proofErr w:type="spellEnd"/>
      <w:r w:rsidRPr="002C2875">
        <w:rPr>
          <w:rFonts w:ascii="Times New Roman" w:hAnsi="Times New Roman" w:cs="Times New Roman"/>
        </w:rPr>
        <w:t xml:space="preserve">, O., et al. (2015). The role of global traditional and complementary systems of medicine in the treatment of mental health disorders. </w:t>
      </w:r>
      <w:r w:rsidRPr="002C2875">
        <w:rPr>
          <w:rFonts w:ascii="Times New Roman" w:hAnsi="Times New Roman" w:cs="Times New Roman"/>
          <w:i/>
        </w:rPr>
        <w:t>Lancet 2</w:t>
      </w:r>
      <w:r w:rsidRPr="002C2875">
        <w:rPr>
          <w:rFonts w:ascii="Times New Roman" w:hAnsi="Times New Roman" w:cs="Times New Roman"/>
        </w:rPr>
        <w:t>(2): 168–177.</w:t>
      </w:r>
    </w:p>
    <w:p w14:paraId="0F786AFE" w14:textId="127D3791" w:rsidR="00031D0A" w:rsidRDefault="00031D0A"/>
    <w:p w14:paraId="68C982DA" w14:textId="79BA7674" w:rsidR="006E4FE3" w:rsidRDefault="006E4FE3">
      <w:hyperlink r:id="rId5" w:history="1">
        <w:r w:rsidRPr="0022237A">
          <w:rPr>
            <w:rStyle w:val="Hyperlink"/>
          </w:rPr>
          <w:t>https://www.ncbi.nlm.nih.gov/pmc/articles/PMC4456435/</w:t>
        </w:r>
      </w:hyperlink>
    </w:p>
    <w:p w14:paraId="77F2681A" w14:textId="77777777" w:rsidR="006E4FE3" w:rsidRDefault="006E4FE3"/>
    <w:p w14:paraId="3E3FC133" w14:textId="7ED3E2E3" w:rsidR="006E4FE3" w:rsidRPr="0037487D" w:rsidRDefault="006E4FE3" w:rsidP="006E4FE3">
      <w:pPr>
        <w:rPr>
          <w:rFonts w:ascii="Times New Roman" w:eastAsia="Times New Roman" w:hAnsi="Times New Roman" w:cs="Times New Roman"/>
          <w:sz w:val="40"/>
          <w:szCs w:val="40"/>
        </w:rPr>
      </w:pPr>
      <w:r w:rsidRPr="0037487D">
        <w:rPr>
          <w:rFonts w:ascii="Times New Roman" w:eastAsia="Times New Roman" w:hAnsi="Times New Roman" w:cs="Times New Roman"/>
          <w:sz w:val="40"/>
          <w:szCs w:val="40"/>
        </w:rPr>
        <w:t xml:space="preserve">presentation </w:t>
      </w:r>
      <w:r w:rsidR="00447768" w:rsidRPr="0037487D">
        <w:rPr>
          <w:rFonts w:ascii="Times New Roman" w:eastAsia="Times New Roman" w:hAnsi="Times New Roman" w:cs="Times New Roman"/>
          <w:sz w:val="40"/>
          <w:szCs w:val="40"/>
        </w:rPr>
        <w:t xml:space="preserve">objectives </w:t>
      </w:r>
    </w:p>
    <w:p w14:paraId="21B40FFC" w14:textId="5AC9D62F" w:rsidR="00447768" w:rsidRPr="0037487D" w:rsidRDefault="00447768" w:rsidP="006E4FE3">
      <w:pPr>
        <w:rPr>
          <w:rFonts w:ascii="Times New Roman" w:eastAsia="Times New Roman" w:hAnsi="Times New Roman" w:cs="Times New Roman"/>
          <w:sz w:val="40"/>
          <w:szCs w:val="40"/>
        </w:rPr>
      </w:pPr>
      <w:r w:rsidRPr="0037487D">
        <w:rPr>
          <w:rFonts w:ascii="Times New Roman" w:eastAsia="Times New Roman" w:hAnsi="Times New Roman" w:cs="Times New Roman"/>
          <w:sz w:val="40"/>
          <w:szCs w:val="40"/>
        </w:rPr>
        <w:t xml:space="preserve">15 mins presentation </w:t>
      </w:r>
    </w:p>
    <w:p w14:paraId="0C2AA876" w14:textId="77777777" w:rsidR="00447768" w:rsidRDefault="00447768" w:rsidP="006E4FE3">
      <w:pPr>
        <w:rPr>
          <w:rFonts w:ascii="Times New Roman" w:eastAsia="Times New Roman" w:hAnsi="Times New Roman" w:cs="Times New Roman"/>
        </w:rPr>
      </w:pPr>
    </w:p>
    <w:p w14:paraId="3DAA2A11" w14:textId="015F40A6" w:rsidR="006E4FE3" w:rsidRPr="00447768" w:rsidRDefault="006E4FE3" w:rsidP="00447768">
      <w:pPr>
        <w:pStyle w:val="ListParagraph"/>
        <w:numPr>
          <w:ilvl w:val="0"/>
          <w:numId w:val="2"/>
        </w:numPr>
        <w:rPr>
          <w:rFonts w:asciiTheme="majorBidi" w:eastAsia="Times New Roman" w:hAnsiTheme="majorBidi" w:cs="Times New Roman"/>
          <w:color w:val="000000" w:themeColor="text1"/>
        </w:rPr>
      </w:pPr>
      <w:r w:rsidRPr="00447768">
        <w:rPr>
          <w:rFonts w:asciiTheme="majorBidi" w:eastAsia="Times New Roman" w:hAnsiTheme="majorBidi" w:cs="Times New Roman"/>
          <w:color w:val="000000" w:themeColor="text1"/>
        </w:rPr>
        <w:t>Abstract</w:t>
      </w:r>
    </w:p>
    <w:p w14:paraId="3C730753" w14:textId="59594C84" w:rsidR="006E4FE3" w:rsidRPr="006E4FE3" w:rsidRDefault="006E4FE3" w:rsidP="00447768">
      <w:pPr>
        <w:pStyle w:val="Heading3"/>
        <w:numPr>
          <w:ilvl w:val="0"/>
          <w:numId w:val="2"/>
        </w:numPr>
        <w:spacing w:before="166" w:beforeAutospacing="0" w:after="166" w:afterAutospacing="0" w:line="300" w:lineRule="atLeast"/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</w:pPr>
      <w:r w:rsidRPr="006E4FE3">
        <w:rPr>
          <w:rFonts w:asciiTheme="majorBidi" w:hAnsiTheme="majorBidi"/>
          <w:b w:val="0"/>
          <w:bCs w:val="0"/>
          <w:color w:val="000000" w:themeColor="text1"/>
        </w:rPr>
        <w:t>Introduction</w:t>
      </w:r>
      <w:r w:rsidRPr="00447768">
        <w:rPr>
          <w:rFonts w:asciiTheme="majorBidi" w:hAnsiTheme="majorBidi"/>
          <w:b w:val="0"/>
          <w:bCs w:val="0"/>
          <w:color w:val="000000" w:themeColor="text1"/>
        </w:rPr>
        <w:t xml:space="preserve"> </w:t>
      </w:r>
      <w:proofErr w:type="gramStart"/>
      <w:r w:rsidRPr="00447768">
        <w:rPr>
          <w:rFonts w:asciiTheme="majorBidi" w:hAnsiTheme="majorBidi"/>
          <w:b w:val="0"/>
          <w:bCs w:val="0"/>
          <w:color w:val="000000" w:themeColor="text1"/>
        </w:rPr>
        <w:t xml:space="preserve">( </w:t>
      </w:r>
      <w:r w:rsidRPr="00447768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>Panel</w:t>
      </w:r>
      <w:proofErr w:type="gramEnd"/>
      <w:r w:rsidRPr="00447768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 xml:space="preserve"> 1</w:t>
      </w:r>
      <w:r w:rsidRPr="00447768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 xml:space="preserve"> </w:t>
      </w:r>
      <w:r w:rsidRPr="006E4FE3">
        <w:rPr>
          <w:rFonts w:asciiTheme="majorBidi" w:hAnsiTheme="majorBidi"/>
          <w:b w:val="0"/>
          <w:bCs w:val="0"/>
          <w:color w:val="000000" w:themeColor="text1"/>
        </w:rPr>
        <w:t>Methodology</w:t>
      </w:r>
      <w:r w:rsidRPr="00447768">
        <w:rPr>
          <w:rFonts w:asciiTheme="majorBidi" w:hAnsiTheme="majorBidi"/>
          <w:b w:val="0"/>
          <w:bCs w:val="0"/>
          <w:color w:val="000000" w:themeColor="text1"/>
        </w:rPr>
        <w:t xml:space="preserve"> ) </w:t>
      </w:r>
    </w:p>
    <w:p w14:paraId="5095B6C8" w14:textId="23ECBF7D" w:rsidR="006E4FE3" w:rsidRPr="006E4FE3" w:rsidRDefault="006E4FE3" w:rsidP="006E4FE3">
      <w:pPr>
        <w:rPr>
          <w:rFonts w:asciiTheme="majorBidi" w:eastAsia="Times New Roman" w:hAnsiTheme="majorBidi" w:cs="Times New Roman"/>
          <w:color w:val="000000" w:themeColor="text1"/>
        </w:rPr>
      </w:pPr>
    </w:p>
    <w:p w14:paraId="69BE1944" w14:textId="77777777" w:rsidR="006E4FE3" w:rsidRPr="00447768" w:rsidRDefault="006E4FE3" w:rsidP="00447768">
      <w:pPr>
        <w:pStyle w:val="ListParagraph"/>
        <w:numPr>
          <w:ilvl w:val="0"/>
          <w:numId w:val="2"/>
        </w:numPr>
        <w:rPr>
          <w:rFonts w:asciiTheme="majorBidi" w:eastAsia="Times New Roman" w:hAnsiTheme="majorBidi" w:cs="Times New Roman"/>
          <w:color w:val="000000" w:themeColor="text1"/>
        </w:rPr>
      </w:pPr>
      <w:r w:rsidRPr="00447768">
        <w:rPr>
          <w:rFonts w:asciiTheme="majorBidi" w:eastAsia="Times New Roman" w:hAnsiTheme="majorBidi" w:cs="Times New Roman"/>
          <w:color w:val="000000" w:themeColor="text1"/>
        </w:rPr>
        <w:t>Definitions of traditional, complementary, and alternative medicine</w:t>
      </w:r>
    </w:p>
    <w:p w14:paraId="6BB8957F" w14:textId="269D62A7" w:rsidR="006E4FE3" w:rsidRPr="006E4FE3" w:rsidRDefault="006E4FE3" w:rsidP="00447768">
      <w:pPr>
        <w:pStyle w:val="Heading3"/>
        <w:numPr>
          <w:ilvl w:val="0"/>
          <w:numId w:val="2"/>
        </w:numPr>
        <w:spacing w:before="308" w:beforeAutospacing="0" w:after="154" w:afterAutospacing="0" w:line="300" w:lineRule="atLeast"/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</w:pPr>
      <w:r w:rsidRPr="006E4FE3">
        <w:rPr>
          <w:rFonts w:asciiTheme="majorBidi" w:hAnsiTheme="majorBidi"/>
          <w:b w:val="0"/>
          <w:bCs w:val="0"/>
          <w:color w:val="000000" w:themeColor="text1"/>
        </w:rPr>
        <w:t>The profile and diversity of use of traditional and complementary medicine</w:t>
      </w:r>
      <w:r w:rsidRPr="00447768">
        <w:rPr>
          <w:rFonts w:asciiTheme="majorBidi" w:hAnsiTheme="majorBidi"/>
          <w:b w:val="0"/>
          <w:bCs w:val="0"/>
          <w:color w:val="000000" w:themeColor="text1"/>
        </w:rPr>
        <w:t xml:space="preserve"> </w:t>
      </w:r>
      <w:proofErr w:type="gramStart"/>
      <w:r w:rsidRPr="00447768">
        <w:rPr>
          <w:rFonts w:asciiTheme="majorBidi" w:hAnsiTheme="majorBidi"/>
          <w:b w:val="0"/>
          <w:bCs w:val="0"/>
          <w:color w:val="000000" w:themeColor="text1"/>
        </w:rPr>
        <w:t xml:space="preserve">( </w:t>
      </w:r>
      <w:r w:rsidRPr="00447768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>Table</w:t>
      </w:r>
      <w:proofErr w:type="gramEnd"/>
      <w:r w:rsidRPr="00447768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 xml:space="preserve"> 1</w:t>
      </w:r>
      <w:r w:rsidRPr="00447768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 xml:space="preserve"> </w:t>
      </w:r>
      <w:r w:rsidRPr="00447768">
        <w:rPr>
          <w:rFonts w:asciiTheme="majorBidi" w:hAnsiTheme="majorBidi"/>
          <w:b w:val="0"/>
          <w:bCs w:val="0"/>
          <w:color w:val="000000" w:themeColor="text1"/>
        </w:rPr>
        <w:t>Studies on pathway to care for patients with mental disorders attending orthodox mental health facilities.</w:t>
      </w:r>
      <w:r w:rsidRPr="00447768">
        <w:rPr>
          <w:rFonts w:asciiTheme="majorBidi" w:hAnsiTheme="majorBidi"/>
          <w:b w:val="0"/>
          <w:bCs w:val="0"/>
          <w:color w:val="000000" w:themeColor="text1"/>
        </w:rPr>
        <w:t xml:space="preserve">) </w:t>
      </w:r>
    </w:p>
    <w:p w14:paraId="43BA1343" w14:textId="3F8E68F1" w:rsidR="006E4FE3" w:rsidRDefault="006E4FE3" w:rsidP="00447768">
      <w:pPr>
        <w:pStyle w:val="ListParagraph"/>
        <w:numPr>
          <w:ilvl w:val="0"/>
          <w:numId w:val="2"/>
        </w:numPr>
        <w:rPr>
          <w:rFonts w:asciiTheme="majorBidi" w:eastAsia="Times New Roman" w:hAnsiTheme="majorBidi" w:cs="Times New Roman"/>
          <w:color w:val="000000" w:themeColor="text1"/>
        </w:rPr>
      </w:pPr>
      <w:r w:rsidRPr="00447768">
        <w:rPr>
          <w:rFonts w:asciiTheme="majorBidi" w:eastAsia="Times New Roman" w:hAnsiTheme="majorBidi" w:cs="Times New Roman"/>
          <w:color w:val="000000" w:themeColor="text1"/>
        </w:rPr>
        <w:t>Assessment, diagnosis and treatment of mental disorders</w:t>
      </w:r>
    </w:p>
    <w:p w14:paraId="555CC3E2" w14:textId="77777777" w:rsidR="00447768" w:rsidRPr="00447768" w:rsidRDefault="00447768" w:rsidP="00447768">
      <w:pPr>
        <w:pStyle w:val="ListParagraph"/>
        <w:rPr>
          <w:rFonts w:asciiTheme="majorBidi" w:eastAsia="Times New Roman" w:hAnsiTheme="majorBidi" w:cs="Times New Roman"/>
          <w:color w:val="000000" w:themeColor="text1"/>
        </w:rPr>
      </w:pPr>
    </w:p>
    <w:p w14:paraId="43131EBA" w14:textId="62D3A93D" w:rsidR="006E4FE3" w:rsidRDefault="006E4FE3" w:rsidP="00447768">
      <w:pPr>
        <w:pStyle w:val="ListParagraph"/>
        <w:numPr>
          <w:ilvl w:val="0"/>
          <w:numId w:val="2"/>
        </w:numPr>
        <w:rPr>
          <w:rFonts w:asciiTheme="majorBidi" w:eastAsia="Times New Roman" w:hAnsiTheme="majorBidi" w:cs="Times New Roman"/>
          <w:color w:val="000000" w:themeColor="text1"/>
        </w:rPr>
      </w:pPr>
      <w:r w:rsidRPr="00447768">
        <w:rPr>
          <w:rFonts w:asciiTheme="majorBidi" w:eastAsia="Times New Roman" w:hAnsiTheme="majorBidi" w:cs="Times New Roman"/>
          <w:color w:val="000000" w:themeColor="text1"/>
        </w:rPr>
        <w:t>The global context in which TCM operates and flourishes</w:t>
      </w:r>
    </w:p>
    <w:p w14:paraId="2BD1E4B9" w14:textId="77777777" w:rsidR="00447768" w:rsidRPr="00447768" w:rsidRDefault="00447768" w:rsidP="00447768">
      <w:pPr>
        <w:pStyle w:val="ListParagraph"/>
        <w:rPr>
          <w:rFonts w:asciiTheme="majorBidi" w:eastAsia="Times New Roman" w:hAnsiTheme="majorBidi" w:cs="Times New Roman"/>
          <w:color w:val="000000" w:themeColor="text1"/>
        </w:rPr>
      </w:pPr>
    </w:p>
    <w:p w14:paraId="6D1077D4" w14:textId="77777777" w:rsidR="00447768" w:rsidRPr="00447768" w:rsidRDefault="00447768" w:rsidP="00447768">
      <w:pPr>
        <w:pStyle w:val="ListParagraph"/>
        <w:rPr>
          <w:rFonts w:asciiTheme="majorBidi" w:eastAsia="Times New Roman" w:hAnsiTheme="majorBidi" w:cs="Times New Roman"/>
          <w:color w:val="000000" w:themeColor="text1"/>
        </w:rPr>
      </w:pPr>
    </w:p>
    <w:p w14:paraId="3A9C50C0" w14:textId="77777777" w:rsidR="006E4FE3" w:rsidRPr="00447768" w:rsidRDefault="006E4FE3" w:rsidP="00447768">
      <w:pPr>
        <w:pStyle w:val="ListParagraph"/>
        <w:numPr>
          <w:ilvl w:val="0"/>
          <w:numId w:val="2"/>
        </w:numPr>
        <w:rPr>
          <w:rFonts w:asciiTheme="majorBidi" w:eastAsia="Times New Roman" w:hAnsiTheme="majorBidi" w:cs="Times New Roman"/>
          <w:color w:val="000000" w:themeColor="text1"/>
        </w:rPr>
      </w:pPr>
      <w:r w:rsidRPr="00447768">
        <w:rPr>
          <w:rFonts w:asciiTheme="majorBidi" w:eastAsia="Times New Roman" w:hAnsiTheme="majorBidi" w:cs="Times New Roman"/>
          <w:color w:val="000000" w:themeColor="text1"/>
        </w:rPr>
        <w:t>Economic context</w:t>
      </w:r>
    </w:p>
    <w:p w14:paraId="37159139" w14:textId="79593DED" w:rsidR="006E4FE3" w:rsidRPr="00447768" w:rsidRDefault="006E4FE3" w:rsidP="00447768">
      <w:pPr>
        <w:pStyle w:val="Heading3"/>
        <w:numPr>
          <w:ilvl w:val="0"/>
          <w:numId w:val="2"/>
        </w:numPr>
        <w:shd w:val="clear" w:color="auto" w:fill="F6F6F6"/>
        <w:spacing w:before="240" w:beforeAutospacing="0" w:after="166" w:afterAutospacing="0" w:line="300" w:lineRule="atLeast"/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</w:pPr>
      <w:r w:rsidRPr="006E4FE3">
        <w:rPr>
          <w:rFonts w:asciiTheme="majorBidi" w:hAnsiTheme="majorBidi"/>
          <w:b w:val="0"/>
          <w:bCs w:val="0"/>
          <w:color w:val="000000" w:themeColor="text1"/>
        </w:rPr>
        <w:t>Role of complementary and alternative mental health providers in the context of global mental health and scaling up of services</w:t>
      </w:r>
      <w:r w:rsidRPr="00447768">
        <w:rPr>
          <w:rFonts w:asciiTheme="majorBidi" w:hAnsiTheme="majorBidi"/>
          <w:b w:val="0"/>
          <w:bCs w:val="0"/>
          <w:color w:val="000000" w:themeColor="text1"/>
        </w:rPr>
        <w:t xml:space="preserve"> </w:t>
      </w:r>
      <w:proofErr w:type="gramStart"/>
      <w:r w:rsidRPr="00447768">
        <w:rPr>
          <w:rFonts w:asciiTheme="majorBidi" w:hAnsiTheme="majorBidi"/>
          <w:b w:val="0"/>
          <w:bCs w:val="0"/>
          <w:color w:val="000000" w:themeColor="text1"/>
        </w:rPr>
        <w:t xml:space="preserve">( </w:t>
      </w:r>
      <w:r w:rsidRPr="00447768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>Pane</w:t>
      </w:r>
      <w:proofErr w:type="gramEnd"/>
      <w:r w:rsidRPr="00447768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 xml:space="preserve"> 2: Influential Definitions of Complementary and Alternative Medicine</w:t>
      </w:r>
      <w:r w:rsidRPr="00447768">
        <w:rPr>
          <w:rFonts w:asciiTheme="majorBidi" w:hAnsiTheme="majorBidi"/>
          <w:b w:val="0"/>
          <w:bCs w:val="0"/>
          <w:color w:val="000000" w:themeColor="text1"/>
          <w:sz w:val="24"/>
          <w:szCs w:val="24"/>
        </w:rPr>
        <w:t>)</w:t>
      </w:r>
    </w:p>
    <w:p w14:paraId="4400F923" w14:textId="1CC70A12" w:rsidR="006E4FE3" w:rsidRPr="0037487D" w:rsidRDefault="0037487D" w:rsidP="0037487D">
      <w:pPr>
        <w:pStyle w:val="ListParagraph"/>
        <w:numPr>
          <w:ilvl w:val="0"/>
          <w:numId w:val="2"/>
        </w:numPr>
        <w:rPr>
          <w:rFonts w:asciiTheme="majorBidi" w:eastAsia="Times New Roman" w:hAnsiTheme="majorBidi" w:cs="Times New Roman"/>
          <w:color w:val="000000" w:themeColor="text1"/>
        </w:rPr>
      </w:pPr>
      <w:r w:rsidRPr="0037487D">
        <w:rPr>
          <w:rFonts w:asciiTheme="majorBidi" w:eastAsia="Times New Roman" w:hAnsiTheme="majorBidi" w:cs="Times New Roman"/>
          <w:color w:val="000000" w:themeColor="text1"/>
        </w:rPr>
        <w:t xml:space="preserve">Conclusion </w:t>
      </w:r>
    </w:p>
    <w:p w14:paraId="1ADA0F6F" w14:textId="666E5E7B" w:rsidR="0037487D" w:rsidRPr="0037487D" w:rsidRDefault="0037487D" w:rsidP="0037487D">
      <w:pPr>
        <w:pStyle w:val="ListParagraph"/>
        <w:numPr>
          <w:ilvl w:val="0"/>
          <w:numId w:val="2"/>
        </w:numPr>
        <w:rPr>
          <w:rFonts w:asciiTheme="majorBidi" w:eastAsia="Times New Roman" w:hAnsiTheme="majorBidi" w:cs="Times New Roman"/>
          <w:color w:val="000000" w:themeColor="text1"/>
        </w:rPr>
      </w:pPr>
      <w:r w:rsidRPr="0037487D">
        <w:rPr>
          <w:rFonts w:asciiTheme="majorBidi" w:eastAsia="Times New Roman" w:hAnsiTheme="majorBidi" w:cs="Times New Roman"/>
          <w:color w:val="000000" w:themeColor="text1"/>
        </w:rPr>
        <w:t xml:space="preserve">Reference </w:t>
      </w:r>
    </w:p>
    <w:p w14:paraId="5B44C7C4" w14:textId="77777777" w:rsidR="006E4FE3" w:rsidRPr="00447768" w:rsidRDefault="006E4FE3" w:rsidP="006E4FE3">
      <w:pPr>
        <w:rPr>
          <w:rFonts w:asciiTheme="majorBidi" w:hAnsiTheme="majorBidi"/>
          <w:color w:val="000000" w:themeColor="text1"/>
        </w:rPr>
      </w:pPr>
    </w:p>
    <w:sectPr w:rsidR="006E4FE3" w:rsidRPr="00447768" w:rsidSect="00870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</w:font>
  <w:font w:name="Arial"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8C5C85"/>
    <w:multiLevelType w:val="hybridMultilevel"/>
    <w:tmpl w:val="94924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20A74"/>
    <w:multiLevelType w:val="hybridMultilevel"/>
    <w:tmpl w:val="57B64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E3"/>
    <w:rsid w:val="00031D0A"/>
    <w:rsid w:val="00072E1A"/>
    <w:rsid w:val="000C2665"/>
    <w:rsid w:val="00172325"/>
    <w:rsid w:val="001E5F1B"/>
    <w:rsid w:val="0020322E"/>
    <w:rsid w:val="0037487D"/>
    <w:rsid w:val="00447768"/>
    <w:rsid w:val="00572FF6"/>
    <w:rsid w:val="006E4FE3"/>
    <w:rsid w:val="00870183"/>
    <w:rsid w:val="009073B7"/>
    <w:rsid w:val="00E5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68C7D"/>
  <w15:chartTrackingRefBased/>
  <w15:docId w15:val="{5F9F0C04-161B-5B4F-A99E-F632790D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E4FE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E4FE3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FE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E4FE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E4FE3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6E4F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6E4FE3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E4F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F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pmc/articles/PMC445643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Bandar Alkhathami</dc:creator>
  <cp:keywords/>
  <dc:description/>
  <cp:lastModifiedBy>Bandar Alkhathami</cp:lastModifiedBy>
  <cp:revision>2</cp:revision>
  <dcterms:created xsi:type="dcterms:W3CDTF">2021-10-04T15:15:00Z</dcterms:created>
  <dcterms:modified xsi:type="dcterms:W3CDTF">2021-10-04T15:31:00Z</dcterms:modified>
</cp:coreProperties>
</file>